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39" w:line="360" w:lineRule="auto"/>
        <w:jc w:val="center"/>
        <w:rPr>
          <w:rFonts w:hint="eastAsia" w:ascii="宋体" w:hAnsi="宋体" w:eastAsia="宋体"/>
          <w:b/>
          <w:bCs/>
          <w:color w:val="000000"/>
          <w:sz w:val="32"/>
          <w:szCs w:val="32"/>
          <w:lang w:val="en-US" w:eastAsia="zh-CN"/>
        </w:rPr>
      </w:pPr>
      <w:r>
        <w:rPr>
          <w:rFonts w:hint="eastAsia" w:ascii="宋体" w:hAnsi="宋体" w:eastAsia="宋体"/>
          <w:b/>
          <w:bCs/>
          <w:color w:val="000000"/>
          <w:sz w:val="32"/>
          <w:szCs w:val="32"/>
          <w:lang w:eastAsia="zh-CN"/>
        </w:rPr>
        <w:t>三亚中心医院（海南省第三人民医院）</w:t>
      </w:r>
    </w:p>
    <w:p>
      <w:pPr>
        <w:spacing w:after="139" w:line="360" w:lineRule="auto"/>
        <w:jc w:val="center"/>
        <w:rPr>
          <w:rFonts w:hint="eastAsia" w:ascii="宋体" w:hAnsi="宋体" w:eastAsia="宋体"/>
          <w:b/>
          <w:bCs/>
          <w:color w:val="000000"/>
          <w:sz w:val="32"/>
          <w:szCs w:val="32"/>
        </w:rPr>
      </w:pPr>
      <w:r>
        <w:rPr>
          <w:rFonts w:hint="eastAsia" w:ascii="宋体" w:hAnsi="宋体" w:eastAsia="宋体"/>
          <w:b/>
          <w:bCs/>
          <w:color w:val="000000"/>
          <w:sz w:val="32"/>
          <w:szCs w:val="32"/>
          <w:lang w:val="en-US" w:eastAsia="zh-CN"/>
        </w:rPr>
        <w:t>2021</w:t>
      </w:r>
      <w:r>
        <w:rPr>
          <w:rFonts w:hint="eastAsia" w:ascii="宋体" w:hAnsi="宋体" w:eastAsia="宋体"/>
          <w:b/>
          <w:bCs/>
          <w:color w:val="000000"/>
          <w:sz w:val="32"/>
          <w:szCs w:val="32"/>
        </w:rPr>
        <w:t>年</w:t>
      </w:r>
      <w:r>
        <w:rPr>
          <w:rFonts w:hint="eastAsia" w:ascii="宋体" w:hAnsi="宋体" w:eastAsia="宋体"/>
          <w:b/>
          <w:bCs/>
          <w:color w:val="000000"/>
          <w:sz w:val="32"/>
          <w:szCs w:val="32"/>
          <w:lang w:val="en-US" w:eastAsia="zh-CN"/>
        </w:rPr>
        <w:t>6</w:t>
      </w:r>
      <w:r>
        <w:rPr>
          <w:rFonts w:hint="eastAsia" w:ascii="宋体" w:hAnsi="宋体" w:eastAsia="宋体"/>
          <w:b/>
          <w:bCs/>
          <w:color w:val="000000"/>
          <w:sz w:val="32"/>
          <w:szCs w:val="32"/>
        </w:rPr>
        <w:t>月政府采购意向</w:t>
      </w:r>
    </w:p>
    <w:p>
      <w:pPr>
        <w:spacing w:after="139" w:line="360" w:lineRule="auto"/>
        <w:jc w:val="left"/>
        <w:rPr>
          <w:rFonts w:hint="eastAsia" w:ascii="宋体" w:hAnsi="宋体" w:eastAsia="宋体"/>
          <w:color w:val="000000"/>
          <w:sz w:val="28"/>
          <w:szCs w:val="28"/>
        </w:rPr>
      </w:pPr>
      <w:r>
        <w:rPr>
          <w:rFonts w:hint="eastAsia" w:ascii="宋体" w:hAnsi="宋体" w:eastAsia="宋体"/>
          <w:color w:val="000000"/>
          <w:sz w:val="28"/>
          <w:szCs w:val="28"/>
          <w:lang w:val="en-US" w:eastAsia="zh-CN"/>
        </w:rPr>
        <w:t xml:space="preserve">    </w:t>
      </w:r>
      <w:r>
        <w:rPr>
          <w:rFonts w:hint="eastAsia" w:ascii="宋体" w:hAnsi="宋体" w:eastAsia="宋体"/>
          <w:color w:val="000000"/>
          <w:sz w:val="28"/>
          <w:szCs w:val="28"/>
        </w:rPr>
        <w:t>为优化政府采购市场营商环境、方便供应商及时了解政府采购信息，根据《财政部关于开展政府采购意向公开工作的通知》（财库（2020）10号）等有关规定，现将</w:t>
      </w:r>
      <w:r>
        <w:rPr>
          <w:rFonts w:hint="eastAsia" w:ascii="宋体" w:hAnsi="宋体" w:eastAsia="宋体"/>
          <w:b w:val="0"/>
          <w:bCs w:val="0"/>
          <w:color w:val="000000"/>
          <w:sz w:val="28"/>
          <w:szCs w:val="28"/>
          <w:lang w:eastAsia="zh-CN"/>
        </w:rPr>
        <w:t>三亚中心医院（海南省第三人民医院）</w:t>
      </w:r>
      <w:r>
        <w:rPr>
          <w:rFonts w:hint="eastAsia" w:ascii="宋体" w:hAnsi="宋体" w:eastAsia="宋体"/>
          <w:b w:val="0"/>
          <w:bCs w:val="0"/>
          <w:color w:val="000000"/>
          <w:sz w:val="28"/>
          <w:szCs w:val="28"/>
          <w:lang w:val="en-US" w:eastAsia="zh-CN"/>
        </w:rPr>
        <w:t>2021</w:t>
      </w:r>
      <w:r>
        <w:rPr>
          <w:rFonts w:hint="eastAsia" w:ascii="宋体" w:hAnsi="宋体" w:eastAsia="宋体"/>
          <w:color w:val="000000"/>
          <w:sz w:val="28"/>
          <w:szCs w:val="28"/>
        </w:rPr>
        <w:t>年</w:t>
      </w:r>
      <w:r>
        <w:rPr>
          <w:rFonts w:hint="eastAsia" w:ascii="宋体" w:hAnsi="宋体" w:eastAsia="宋体"/>
          <w:color w:val="000000"/>
          <w:sz w:val="28"/>
          <w:szCs w:val="28"/>
          <w:lang w:val="en-US" w:eastAsia="zh-CN"/>
        </w:rPr>
        <w:t>6</w:t>
      </w:r>
      <w:r>
        <w:rPr>
          <w:rFonts w:hint="eastAsia" w:ascii="宋体" w:hAnsi="宋体" w:eastAsia="宋体"/>
          <w:color w:val="000000"/>
          <w:sz w:val="28"/>
          <w:szCs w:val="28"/>
        </w:rPr>
        <w:t>月采购意向公开如下：</w:t>
      </w:r>
    </w:p>
    <w:tbl>
      <w:tblPr>
        <w:tblStyle w:val="3"/>
        <w:tblpPr w:leftFromText="180" w:rightFromText="180" w:vertAnchor="text" w:horzAnchor="page" w:tblpX="957" w:tblpY="92"/>
        <w:tblOverlap w:val="never"/>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005"/>
        <w:gridCol w:w="3975"/>
        <w:gridCol w:w="1275"/>
        <w:gridCol w:w="1890"/>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662" w:type="dxa"/>
            <w:vAlign w:val="center"/>
          </w:tcPr>
          <w:p>
            <w:pPr>
              <w:spacing w:line="360" w:lineRule="auto"/>
              <w:jc w:val="center"/>
              <w:rPr>
                <w:b/>
                <w:bCs/>
                <w:sz w:val="24"/>
                <w:szCs w:val="24"/>
              </w:rPr>
            </w:pPr>
            <w:r>
              <w:rPr>
                <w:b/>
                <w:bCs/>
                <w:color w:val="000000"/>
                <w:sz w:val="24"/>
                <w:szCs w:val="24"/>
              </w:rPr>
              <w:t>序号</w:t>
            </w:r>
          </w:p>
        </w:tc>
        <w:tc>
          <w:tcPr>
            <w:tcW w:w="1005" w:type="dxa"/>
            <w:vAlign w:val="center"/>
          </w:tcPr>
          <w:p>
            <w:pPr>
              <w:spacing w:line="360" w:lineRule="auto"/>
              <w:jc w:val="center"/>
              <w:rPr>
                <w:b/>
                <w:bCs/>
                <w:sz w:val="24"/>
                <w:szCs w:val="24"/>
              </w:rPr>
            </w:pPr>
            <w:r>
              <w:rPr>
                <w:b/>
                <w:bCs/>
                <w:color w:val="000000"/>
                <w:sz w:val="24"/>
                <w:szCs w:val="24"/>
              </w:rPr>
              <w:t>采购项目名称</w:t>
            </w:r>
          </w:p>
        </w:tc>
        <w:tc>
          <w:tcPr>
            <w:tcW w:w="3975" w:type="dxa"/>
            <w:vAlign w:val="center"/>
          </w:tcPr>
          <w:p>
            <w:pPr>
              <w:spacing w:line="360" w:lineRule="auto"/>
              <w:jc w:val="center"/>
              <w:rPr>
                <w:b/>
                <w:bCs/>
                <w:sz w:val="24"/>
                <w:szCs w:val="24"/>
              </w:rPr>
            </w:pPr>
            <w:r>
              <w:rPr>
                <w:b/>
                <w:bCs/>
                <w:color w:val="000000"/>
                <w:sz w:val="24"/>
                <w:szCs w:val="24"/>
              </w:rPr>
              <w:t>采购</w:t>
            </w:r>
            <w:r>
              <w:rPr>
                <w:rFonts w:hint="eastAsia"/>
                <w:b/>
                <w:bCs/>
                <w:color w:val="000000"/>
                <w:sz w:val="24"/>
                <w:szCs w:val="24"/>
                <w:lang w:eastAsia="zh-CN"/>
              </w:rPr>
              <w:t>需求</w:t>
            </w:r>
            <w:r>
              <w:rPr>
                <w:b/>
                <w:bCs/>
                <w:color w:val="000000"/>
                <w:sz w:val="24"/>
                <w:szCs w:val="24"/>
              </w:rPr>
              <w:t>概况</w:t>
            </w:r>
          </w:p>
        </w:tc>
        <w:tc>
          <w:tcPr>
            <w:tcW w:w="1275" w:type="dxa"/>
            <w:vAlign w:val="center"/>
          </w:tcPr>
          <w:p>
            <w:pPr>
              <w:spacing w:line="360" w:lineRule="auto"/>
              <w:jc w:val="center"/>
              <w:rPr>
                <w:b/>
                <w:bCs/>
                <w:color w:val="000000"/>
                <w:sz w:val="24"/>
                <w:szCs w:val="24"/>
              </w:rPr>
            </w:pPr>
            <w:r>
              <w:rPr>
                <w:b/>
                <w:bCs/>
                <w:color w:val="000000"/>
                <w:sz w:val="24"/>
                <w:szCs w:val="24"/>
              </w:rPr>
              <w:t>预算金额</w:t>
            </w:r>
          </w:p>
          <w:p>
            <w:pPr>
              <w:spacing w:line="360" w:lineRule="auto"/>
              <w:jc w:val="center"/>
              <w:rPr>
                <w:b/>
                <w:bCs/>
                <w:sz w:val="24"/>
                <w:szCs w:val="24"/>
              </w:rPr>
            </w:pPr>
            <w:r>
              <w:rPr>
                <w:b/>
                <w:bCs/>
                <w:color w:val="000000"/>
                <w:sz w:val="24"/>
                <w:szCs w:val="24"/>
              </w:rPr>
              <w:t>（</w:t>
            </w:r>
            <w:r>
              <w:rPr>
                <w:rFonts w:hint="eastAsia"/>
                <w:b/>
                <w:bCs/>
                <w:color w:val="000000"/>
                <w:sz w:val="24"/>
                <w:szCs w:val="24"/>
                <w:lang w:eastAsia="zh-CN"/>
              </w:rPr>
              <w:t>万</w:t>
            </w:r>
            <w:r>
              <w:rPr>
                <w:b/>
                <w:bCs/>
                <w:color w:val="000000"/>
                <w:sz w:val="24"/>
                <w:szCs w:val="24"/>
              </w:rPr>
              <w:t>元）</w:t>
            </w:r>
          </w:p>
        </w:tc>
        <w:tc>
          <w:tcPr>
            <w:tcW w:w="1890" w:type="dxa"/>
            <w:vAlign w:val="center"/>
          </w:tcPr>
          <w:p>
            <w:pPr>
              <w:spacing w:line="360" w:lineRule="auto"/>
              <w:jc w:val="center"/>
              <w:rPr>
                <w:b/>
                <w:bCs/>
                <w:sz w:val="24"/>
                <w:szCs w:val="24"/>
              </w:rPr>
            </w:pPr>
            <w:r>
              <w:rPr>
                <w:b/>
                <w:bCs/>
                <w:color w:val="000000"/>
                <w:sz w:val="24"/>
                <w:szCs w:val="24"/>
              </w:rPr>
              <w:t>预计采购时间</w:t>
            </w:r>
          </w:p>
        </w:tc>
        <w:tc>
          <w:tcPr>
            <w:tcW w:w="1078" w:type="dxa"/>
            <w:vAlign w:val="center"/>
          </w:tcPr>
          <w:p>
            <w:pPr>
              <w:spacing w:line="360" w:lineRule="auto"/>
              <w:jc w:val="center"/>
              <w:rPr>
                <w:b/>
                <w:bCs/>
                <w:sz w:val="24"/>
                <w:szCs w:val="24"/>
              </w:rPr>
            </w:pPr>
            <w:r>
              <w:rPr>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0" w:hRule="atLeast"/>
        </w:trPr>
        <w:tc>
          <w:tcPr>
            <w:tcW w:w="662" w:type="dxa"/>
            <w:vAlign w:val="top"/>
          </w:tcPr>
          <w:p>
            <w:pPr>
              <w:spacing w:line="360" w:lineRule="auto"/>
              <w:ind w:firstLine="0"/>
              <w:jc w:val="left"/>
              <w:rPr>
                <w:sz w:val="24"/>
                <w:szCs w:val="24"/>
              </w:rPr>
            </w:pPr>
          </w:p>
        </w:tc>
        <w:tc>
          <w:tcPr>
            <w:tcW w:w="1005" w:type="dxa"/>
            <w:vAlign w:val="top"/>
          </w:tcPr>
          <w:p>
            <w:pPr>
              <w:spacing w:line="360" w:lineRule="auto"/>
              <w:jc w:val="left"/>
              <w:rPr>
                <w:rFonts w:hint="eastAsia"/>
                <w:color w:val="000000"/>
                <w:sz w:val="24"/>
                <w:szCs w:val="24"/>
              </w:rPr>
            </w:pPr>
          </w:p>
          <w:p>
            <w:pPr>
              <w:spacing w:line="360" w:lineRule="auto"/>
              <w:jc w:val="left"/>
              <w:rPr>
                <w:rFonts w:hint="eastAsia"/>
                <w:color w:val="000000"/>
                <w:sz w:val="24"/>
                <w:szCs w:val="24"/>
              </w:rPr>
            </w:pPr>
          </w:p>
          <w:p>
            <w:pPr>
              <w:spacing w:line="360" w:lineRule="auto"/>
              <w:jc w:val="left"/>
              <w:rPr>
                <w:rFonts w:hint="eastAsia"/>
                <w:color w:val="000000"/>
                <w:sz w:val="24"/>
                <w:szCs w:val="24"/>
              </w:rPr>
            </w:pPr>
          </w:p>
          <w:p>
            <w:pPr>
              <w:spacing w:line="360" w:lineRule="auto"/>
              <w:jc w:val="left"/>
              <w:rPr>
                <w:sz w:val="24"/>
                <w:szCs w:val="24"/>
              </w:rPr>
            </w:pPr>
            <w:r>
              <w:rPr>
                <w:rFonts w:hint="eastAsia"/>
                <w:color w:val="000000"/>
                <w:sz w:val="24"/>
                <w:szCs w:val="24"/>
              </w:rPr>
              <w:t>总务科后勤物资采购</w:t>
            </w:r>
          </w:p>
        </w:tc>
        <w:tc>
          <w:tcPr>
            <w:tcW w:w="3975" w:type="dxa"/>
            <w:vAlign w:val="top"/>
          </w:tcPr>
          <w:p>
            <w:pPr>
              <w:spacing w:line="360" w:lineRule="auto"/>
              <w:ind w:firstLine="0"/>
              <w:jc w:val="left"/>
              <w:rPr>
                <w:rFonts w:hint="eastAsia"/>
                <w:b/>
                <w:bCs/>
                <w:sz w:val="24"/>
                <w:szCs w:val="24"/>
                <w:lang w:eastAsia="zh-CN"/>
              </w:rPr>
            </w:pPr>
            <w:r>
              <w:rPr>
                <w:rFonts w:hint="eastAsia"/>
                <w:b/>
                <w:bCs/>
                <w:sz w:val="24"/>
                <w:szCs w:val="24"/>
                <w:lang w:eastAsia="zh-CN"/>
              </w:rPr>
              <w:t>标的名称：</w:t>
            </w:r>
          </w:p>
          <w:p>
            <w:pPr>
              <w:spacing w:line="360" w:lineRule="auto"/>
              <w:ind w:firstLine="0"/>
              <w:jc w:val="left"/>
              <w:rPr>
                <w:rFonts w:hint="eastAsia"/>
                <w:sz w:val="24"/>
                <w:szCs w:val="24"/>
                <w:lang w:eastAsia="zh-CN"/>
              </w:rPr>
            </w:pPr>
            <w:r>
              <w:rPr>
                <w:rFonts w:hint="eastAsia"/>
                <w:sz w:val="24"/>
                <w:szCs w:val="24"/>
                <w:lang w:eastAsia="zh-CN"/>
              </w:rPr>
              <w:t>水电耗材、办公用品、日用品、棉纺织品、 印刷品。</w:t>
            </w:r>
          </w:p>
          <w:p>
            <w:pPr>
              <w:spacing w:line="360" w:lineRule="auto"/>
              <w:ind w:firstLine="0"/>
              <w:jc w:val="left"/>
              <w:rPr>
                <w:rFonts w:hint="eastAsia"/>
                <w:b/>
                <w:bCs/>
                <w:sz w:val="24"/>
                <w:szCs w:val="24"/>
                <w:lang w:eastAsia="zh-CN"/>
              </w:rPr>
            </w:pPr>
            <w:r>
              <w:rPr>
                <w:rFonts w:hint="eastAsia"/>
                <w:b/>
                <w:bCs/>
                <w:sz w:val="24"/>
                <w:szCs w:val="24"/>
                <w:lang w:eastAsia="zh-CN"/>
              </w:rPr>
              <w:t>主要功能或者目标：</w:t>
            </w:r>
          </w:p>
          <w:p>
            <w:pPr>
              <w:spacing w:line="360" w:lineRule="auto"/>
              <w:ind w:firstLine="0"/>
              <w:jc w:val="left"/>
              <w:rPr>
                <w:rFonts w:hint="eastAsia"/>
                <w:sz w:val="24"/>
                <w:szCs w:val="24"/>
                <w:lang w:eastAsia="zh-CN"/>
              </w:rPr>
            </w:pPr>
            <w:r>
              <w:rPr>
                <w:rFonts w:hint="eastAsia"/>
                <w:sz w:val="24"/>
                <w:szCs w:val="24"/>
                <w:lang w:eastAsia="zh-CN"/>
              </w:rPr>
              <w:t>用于我院零星工程项目的维修维护以及行政办公日常消耗品、医护使用等需求。</w:t>
            </w:r>
          </w:p>
          <w:p>
            <w:pPr>
              <w:spacing w:line="360" w:lineRule="auto"/>
              <w:ind w:firstLine="0"/>
              <w:jc w:val="both"/>
              <w:rPr>
                <w:rFonts w:hint="eastAsia"/>
                <w:b/>
                <w:bCs/>
                <w:sz w:val="24"/>
                <w:szCs w:val="24"/>
                <w:lang w:eastAsia="zh-CN"/>
              </w:rPr>
            </w:pPr>
            <w:r>
              <w:rPr>
                <w:rFonts w:hint="eastAsia"/>
                <w:b/>
                <w:bCs/>
                <w:sz w:val="24"/>
                <w:szCs w:val="24"/>
                <w:lang w:eastAsia="zh-CN"/>
              </w:rPr>
              <w:t>质量要求：</w:t>
            </w:r>
          </w:p>
          <w:p>
            <w:pPr>
              <w:spacing w:line="360" w:lineRule="auto"/>
              <w:ind w:firstLine="0"/>
              <w:jc w:val="both"/>
              <w:rPr>
                <w:rFonts w:hint="eastAsia"/>
                <w:sz w:val="24"/>
                <w:szCs w:val="24"/>
                <w:lang w:eastAsia="zh-CN"/>
              </w:rPr>
            </w:pPr>
            <w:r>
              <w:rPr>
                <w:rFonts w:hint="eastAsia"/>
                <w:sz w:val="24"/>
                <w:szCs w:val="24"/>
                <w:lang w:eastAsia="zh-CN"/>
              </w:rPr>
              <w:t>医用物品及普通货物的质量需符合国家相关法律法规或行业标准要求，并按标准提供三包。</w:t>
            </w:r>
          </w:p>
          <w:p>
            <w:pPr>
              <w:spacing w:line="360" w:lineRule="auto"/>
              <w:ind w:firstLine="0"/>
              <w:jc w:val="left"/>
              <w:rPr>
                <w:rFonts w:hint="eastAsia"/>
                <w:sz w:val="24"/>
                <w:szCs w:val="24"/>
                <w:lang w:eastAsia="zh-CN"/>
              </w:rPr>
            </w:pPr>
            <w:r>
              <w:rPr>
                <w:rFonts w:hint="eastAsia"/>
                <w:b/>
                <w:bCs/>
                <w:sz w:val="24"/>
                <w:szCs w:val="24"/>
                <w:lang w:eastAsia="zh-CN"/>
              </w:rPr>
              <w:t>服务要求：</w:t>
            </w:r>
            <w:r>
              <w:rPr>
                <w:rFonts w:hint="eastAsia"/>
                <w:sz w:val="24"/>
                <w:szCs w:val="24"/>
                <w:lang w:eastAsia="zh-CN"/>
              </w:rPr>
              <w:t xml:space="preserve">                                                                    </w:t>
            </w:r>
            <w:r>
              <w:rPr>
                <w:rFonts w:hint="eastAsia"/>
                <w:sz w:val="24"/>
                <w:szCs w:val="24"/>
                <w:lang w:val="en-US" w:eastAsia="zh-CN"/>
              </w:rPr>
              <w:t xml:space="preserve">     </w:t>
            </w:r>
            <w:r>
              <w:rPr>
                <w:rFonts w:hint="eastAsia"/>
                <w:sz w:val="24"/>
                <w:szCs w:val="24"/>
                <w:lang w:eastAsia="zh-CN"/>
              </w:rPr>
              <w:t>1、中标人接到订单后，一般货品24小时到货最长不得超过48小时，棉织品5天到货最长不得超过7天，急用时2小时配送到位，并认真履行相关的伴随服务。节假日照常配送。</w:t>
            </w:r>
          </w:p>
          <w:p>
            <w:pPr>
              <w:numPr>
                <w:ilvl w:val="0"/>
                <w:numId w:val="1"/>
              </w:numPr>
              <w:spacing w:line="360" w:lineRule="auto"/>
              <w:ind w:firstLine="0"/>
              <w:jc w:val="left"/>
              <w:rPr>
                <w:rFonts w:hint="eastAsia"/>
                <w:sz w:val="24"/>
                <w:szCs w:val="24"/>
                <w:lang w:eastAsia="zh-CN"/>
              </w:rPr>
            </w:pPr>
            <w:r>
              <w:rPr>
                <w:rFonts w:hint="eastAsia"/>
                <w:sz w:val="24"/>
                <w:szCs w:val="24"/>
                <w:lang w:eastAsia="zh-CN"/>
              </w:rPr>
              <w:t>造成采购人损失，由中标人承担赔偿责任。</w:t>
            </w:r>
          </w:p>
          <w:p>
            <w:pPr>
              <w:numPr>
                <w:numId w:val="0"/>
              </w:numPr>
              <w:spacing w:line="360" w:lineRule="auto"/>
              <w:jc w:val="left"/>
              <w:rPr>
                <w:rFonts w:hint="eastAsia"/>
                <w:sz w:val="24"/>
                <w:szCs w:val="24"/>
                <w:lang w:eastAsia="zh-CN"/>
              </w:rPr>
            </w:pPr>
            <w:r>
              <w:rPr>
                <w:rFonts w:hint="eastAsia"/>
                <w:sz w:val="24"/>
                <w:szCs w:val="24"/>
                <w:lang w:eastAsia="zh-CN"/>
              </w:rPr>
              <w:t xml:space="preserve">3、对打开包装时发现的破损、或其他不合格事项时更换；如产品在使用过程中出现质量问题应更换              </w:t>
            </w:r>
            <w:r>
              <w:rPr>
                <w:rFonts w:hint="eastAsia"/>
                <w:sz w:val="24"/>
                <w:szCs w:val="24"/>
                <w:lang w:val="en-US" w:eastAsia="zh-CN"/>
              </w:rPr>
              <w:t xml:space="preserve">               </w:t>
            </w:r>
            <w:r>
              <w:rPr>
                <w:rFonts w:hint="eastAsia"/>
                <w:sz w:val="24"/>
                <w:szCs w:val="24"/>
                <w:lang w:eastAsia="zh-CN"/>
              </w:rPr>
              <w:t xml:space="preserve"> 时限：一年    </w:t>
            </w:r>
          </w:p>
        </w:tc>
        <w:tc>
          <w:tcPr>
            <w:tcW w:w="1275" w:type="dxa"/>
            <w:vAlign w:val="top"/>
          </w:tcPr>
          <w:p>
            <w:pPr>
              <w:spacing w:line="360" w:lineRule="auto"/>
              <w:ind w:firstLine="0"/>
              <w:jc w:val="left"/>
              <w:rPr>
                <w:rFonts w:hint="eastAsia"/>
                <w:sz w:val="24"/>
                <w:szCs w:val="24"/>
                <w:lang w:val="en-US" w:eastAsia="zh-CN"/>
              </w:rPr>
            </w:pPr>
          </w:p>
          <w:p>
            <w:pPr>
              <w:spacing w:line="360" w:lineRule="auto"/>
              <w:ind w:firstLine="0"/>
              <w:jc w:val="left"/>
              <w:rPr>
                <w:rFonts w:hint="eastAsia"/>
                <w:sz w:val="24"/>
                <w:szCs w:val="24"/>
                <w:lang w:val="en-US" w:eastAsia="zh-CN"/>
              </w:rPr>
            </w:pPr>
          </w:p>
          <w:p>
            <w:pPr>
              <w:spacing w:line="360" w:lineRule="auto"/>
              <w:ind w:firstLine="0"/>
              <w:jc w:val="left"/>
              <w:rPr>
                <w:rFonts w:hint="eastAsia"/>
                <w:sz w:val="24"/>
                <w:szCs w:val="24"/>
                <w:lang w:val="en-US" w:eastAsia="zh-CN"/>
              </w:rPr>
            </w:pPr>
          </w:p>
          <w:p>
            <w:pPr>
              <w:spacing w:line="360" w:lineRule="auto"/>
              <w:ind w:firstLine="0"/>
              <w:jc w:val="center"/>
              <w:rPr>
                <w:rFonts w:hint="eastAsia" w:eastAsiaTheme="minorEastAsia"/>
                <w:sz w:val="24"/>
                <w:szCs w:val="24"/>
                <w:lang w:val="en-US" w:eastAsia="zh-CN"/>
              </w:rPr>
            </w:pPr>
            <w:r>
              <w:rPr>
                <w:rFonts w:hint="eastAsia"/>
                <w:sz w:val="24"/>
                <w:szCs w:val="24"/>
                <w:lang w:val="en-US" w:eastAsia="zh-CN"/>
              </w:rPr>
              <w:t>444万元</w:t>
            </w:r>
          </w:p>
        </w:tc>
        <w:tc>
          <w:tcPr>
            <w:tcW w:w="1890" w:type="dxa"/>
            <w:vAlign w:val="top"/>
          </w:tcPr>
          <w:p>
            <w:pPr>
              <w:spacing w:line="360" w:lineRule="auto"/>
              <w:ind w:firstLine="0"/>
              <w:jc w:val="left"/>
              <w:rPr>
                <w:rFonts w:hint="eastAsia"/>
                <w:color w:val="000000"/>
                <w:sz w:val="24"/>
                <w:szCs w:val="24"/>
                <w:lang w:val="en-US" w:eastAsia="zh-CN"/>
              </w:rPr>
            </w:pPr>
          </w:p>
          <w:p>
            <w:pPr>
              <w:spacing w:line="360" w:lineRule="auto"/>
              <w:ind w:firstLine="0"/>
              <w:jc w:val="left"/>
              <w:rPr>
                <w:rFonts w:hint="eastAsia"/>
                <w:color w:val="000000"/>
                <w:sz w:val="24"/>
                <w:szCs w:val="24"/>
                <w:lang w:val="en-US" w:eastAsia="zh-CN"/>
              </w:rPr>
            </w:pPr>
          </w:p>
          <w:p>
            <w:pPr>
              <w:spacing w:line="360" w:lineRule="auto"/>
              <w:ind w:firstLine="0"/>
              <w:jc w:val="left"/>
              <w:rPr>
                <w:rFonts w:hint="eastAsia"/>
                <w:color w:val="000000"/>
                <w:sz w:val="24"/>
                <w:szCs w:val="24"/>
                <w:lang w:val="en-US" w:eastAsia="zh-CN"/>
              </w:rPr>
            </w:pPr>
          </w:p>
          <w:p>
            <w:pPr>
              <w:spacing w:line="360" w:lineRule="auto"/>
              <w:ind w:firstLine="0"/>
              <w:jc w:val="left"/>
              <w:rPr>
                <w:rFonts w:hint="eastAsia" w:eastAsiaTheme="minorEastAsia"/>
                <w:sz w:val="24"/>
                <w:szCs w:val="24"/>
                <w:lang w:eastAsia="zh-CN"/>
              </w:rPr>
            </w:pPr>
            <w:r>
              <w:rPr>
                <w:rFonts w:hint="eastAsia"/>
                <w:color w:val="000000"/>
                <w:sz w:val="24"/>
                <w:szCs w:val="24"/>
                <w:lang w:val="en-US" w:eastAsia="zh-CN"/>
              </w:rPr>
              <w:t>2021年6月1日</w:t>
            </w:r>
          </w:p>
        </w:tc>
        <w:tc>
          <w:tcPr>
            <w:tcW w:w="1078" w:type="dxa"/>
            <w:vAlign w:val="top"/>
          </w:tcPr>
          <w:p>
            <w:pPr>
              <w:spacing w:line="360" w:lineRule="auto"/>
              <w:jc w:val="left"/>
              <w:rPr>
                <w:sz w:val="24"/>
                <w:szCs w:val="24"/>
              </w:rPr>
            </w:pPr>
          </w:p>
        </w:tc>
      </w:tr>
    </w:tbl>
    <w:p>
      <w:pPr>
        <w:keepNext w:val="0"/>
        <w:keepLines w:val="0"/>
        <w:pageBreakBefore w:val="0"/>
        <w:widowControl w:val="0"/>
        <w:kinsoku/>
        <w:wordWrap/>
        <w:overflowPunct/>
        <w:topLinePunct w:val="0"/>
        <w:autoSpaceDE/>
        <w:autoSpaceDN/>
        <w:bidi w:val="0"/>
        <w:adjustRightInd/>
        <w:snapToGrid/>
        <w:spacing w:after="360" w:line="360" w:lineRule="auto"/>
        <w:ind w:right="0" w:rightChars="0"/>
        <w:jc w:val="both"/>
        <w:textAlignment w:val="auto"/>
        <w:outlineLvl w:val="9"/>
        <w:rPr>
          <w:rFonts w:hint="eastAsia" w:ascii="宋体" w:hAnsi="宋体" w:eastAsia="宋体"/>
          <w:color w:val="000000"/>
          <w:sz w:val="28"/>
          <w:szCs w:val="28"/>
        </w:rPr>
      </w:pPr>
    </w:p>
    <w:p>
      <w:pPr>
        <w:keepNext w:val="0"/>
        <w:keepLines w:val="0"/>
        <w:pageBreakBefore w:val="0"/>
        <w:widowControl w:val="0"/>
        <w:kinsoku/>
        <w:wordWrap/>
        <w:overflowPunct/>
        <w:topLinePunct w:val="0"/>
        <w:autoSpaceDE/>
        <w:autoSpaceDN/>
        <w:bidi w:val="0"/>
        <w:adjustRightInd/>
        <w:snapToGrid/>
        <w:spacing w:after="360" w:line="360" w:lineRule="auto"/>
        <w:ind w:right="0" w:rightChars="0"/>
        <w:jc w:val="both"/>
        <w:textAlignment w:val="auto"/>
        <w:outlineLvl w:val="9"/>
        <w:rPr>
          <w:rFonts w:hint="eastAsia" w:ascii="宋体" w:hAnsi="宋体" w:eastAsia="宋体"/>
          <w:color w:val="000000"/>
          <w:sz w:val="28"/>
          <w:szCs w:val="28"/>
        </w:rPr>
      </w:pPr>
      <w:r>
        <w:rPr>
          <w:rFonts w:hint="eastAsia" w:ascii="宋体" w:hAnsi="宋体" w:eastAsia="宋体"/>
          <w:color w:val="000000"/>
          <w:sz w:val="28"/>
          <w:szCs w:val="28"/>
          <w:lang w:val="en-US" w:eastAsia="zh-CN"/>
        </w:rPr>
        <w:t xml:space="preserve">    </w:t>
      </w:r>
      <w:bookmarkStart w:id="0" w:name="_GoBack"/>
      <w:bookmarkEnd w:id="0"/>
      <w:r>
        <w:rPr>
          <w:rFonts w:hint="eastAsia" w:ascii="宋体" w:hAnsi="宋体" w:eastAsia="宋体"/>
          <w:color w:val="000000"/>
          <w:sz w:val="28"/>
          <w:szCs w:val="28"/>
        </w:rPr>
        <w:t>本次公开的采购意向是本单位政府采购工作的初步安排，具体采购项目情况以相关采购公告和采购文件为准。</w:t>
      </w:r>
    </w:p>
    <w:p>
      <w:pPr>
        <w:keepNext w:val="0"/>
        <w:keepLines w:val="0"/>
        <w:pageBreakBefore w:val="0"/>
        <w:widowControl w:val="0"/>
        <w:kinsoku/>
        <w:wordWrap w:val="0"/>
        <w:overflowPunct/>
        <w:topLinePunct w:val="0"/>
        <w:autoSpaceDE/>
        <w:autoSpaceDN/>
        <w:bidi w:val="0"/>
        <w:adjustRightInd/>
        <w:snapToGrid/>
        <w:spacing w:after="360" w:line="240" w:lineRule="auto"/>
        <w:ind w:left="300" w:leftChars="0" w:right="0" w:rightChars="0" w:firstLine="780" w:firstLineChars="0"/>
        <w:jc w:val="right"/>
        <w:textAlignment w:val="auto"/>
        <w:outlineLvl w:val="9"/>
        <w:rPr>
          <w:rFonts w:hint="eastAsia" w:ascii="宋体" w:hAnsi="宋体" w:eastAsia="宋体"/>
          <w:color w:val="000000"/>
          <w:sz w:val="28"/>
          <w:szCs w:val="28"/>
          <w:lang w:eastAsia="zh-CN"/>
        </w:rPr>
      </w:pPr>
      <w:r>
        <w:rPr>
          <w:rFonts w:hint="eastAsia" w:ascii="宋体" w:hAnsi="宋体" w:eastAsia="宋体"/>
          <w:color w:val="000000"/>
          <w:sz w:val="28"/>
          <w:szCs w:val="28"/>
          <w:lang w:eastAsia="zh-CN"/>
        </w:rPr>
        <w:t>三亚中心医院（海南省第三人民医院）</w:t>
      </w:r>
    </w:p>
    <w:p>
      <w:pPr>
        <w:keepNext w:val="0"/>
        <w:keepLines w:val="0"/>
        <w:pageBreakBefore w:val="0"/>
        <w:widowControl w:val="0"/>
        <w:kinsoku/>
        <w:wordWrap w:val="0"/>
        <w:overflowPunct/>
        <w:topLinePunct w:val="0"/>
        <w:autoSpaceDE/>
        <w:autoSpaceDN/>
        <w:bidi w:val="0"/>
        <w:adjustRightInd/>
        <w:snapToGrid/>
        <w:spacing w:after="360" w:line="240" w:lineRule="auto"/>
        <w:ind w:left="300" w:leftChars="0" w:right="0" w:rightChars="0" w:firstLine="780" w:firstLineChars="0"/>
        <w:jc w:val="right"/>
        <w:textAlignment w:val="auto"/>
        <w:outlineLvl w:val="9"/>
        <w:rPr>
          <w:rFonts w:hint="eastAsia" w:ascii="宋体" w:hAnsi="宋体" w:eastAsia="宋体"/>
          <w:color w:val="000000"/>
          <w:sz w:val="28"/>
          <w:szCs w:val="28"/>
          <w:lang w:eastAsia="zh-CN"/>
        </w:rPr>
      </w:pPr>
      <w:r>
        <w:rPr>
          <w:rFonts w:hint="eastAsia" w:ascii="宋体" w:hAnsi="宋体" w:eastAsia="宋体"/>
          <w:color w:val="000000"/>
          <w:sz w:val="28"/>
          <w:szCs w:val="28"/>
          <w:lang w:val="en-US" w:eastAsia="zh-CN"/>
        </w:rPr>
        <w:t>2021</w:t>
      </w:r>
      <w:r>
        <w:rPr>
          <w:rFonts w:hint="eastAsia" w:ascii="宋体" w:hAnsi="宋体" w:eastAsia="宋体"/>
          <w:color w:val="000000"/>
          <w:sz w:val="28"/>
          <w:szCs w:val="28"/>
          <w:lang w:eastAsia="zh-CN"/>
        </w:rPr>
        <w:t>年</w:t>
      </w:r>
      <w:r>
        <w:rPr>
          <w:rFonts w:hint="eastAsia" w:ascii="宋体" w:hAnsi="宋体" w:eastAsia="宋体"/>
          <w:color w:val="000000"/>
          <w:sz w:val="28"/>
          <w:szCs w:val="28"/>
          <w:lang w:val="en-US" w:eastAsia="zh-CN"/>
        </w:rPr>
        <w:t xml:space="preserve"> 02 月 24日           </w:t>
      </w:r>
    </w:p>
    <w:p>
      <w:pPr>
        <w:spacing w:line="360" w:lineRule="auto"/>
      </w:pPr>
    </w:p>
    <w:sectPr>
      <w:pgSz w:w="11900" w:h="16840"/>
      <w:pgMar w:top="1440" w:right="1236" w:bottom="1440" w:left="1236" w:header="720" w:footer="720" w:gutter="0"/>
      <w:paperSrc/>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14155542">
    <w:nsid w:val="60360F16"/>
    <w:multiLevelType w:val="singleLevel"/>
    <w:tmpl w:val="60360F16"/>
    <w:lvl w:ilvl="0" w:tentative="1">
      <w:start w:val="2"/>
      <w:numFmt w:val="decimal"/>
      <w:suff w:val="nothing"/>
      <w:lvlText w:val="%1、"/>
      <w:lvlJc w:val="left"/>
    </w:lvl>
  </w:abstractNum>
  <w:num w:numId="1">
    <w:abstractNumId w:val="16141555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85587"/>
    <w:rsid w:val="0E144650"/>
    <w:rsid w:val="16994725"/>
    <w:rsid w:val="169A7F0B"/>
    <w:rsid w:val="1A8F23FF"/>
    <w:rsid w:val="1EAF0AFC"/>
    <w:rsid w:val="237D1162"/>
    <w:rsid w:val="2FA97144"/>
    <w:rsid w:val="30581331"/>
    <w:rsid w:val="3B9D2D9E"/>
    <w:rsid w:val="3C5063F0"/>
    <w:rsid w:val="3E0B3F47"/>
    <w:rsid w:val="461B12BD"/>
    <w:rsid w:val="4C1411BB"/>
    <w:rsid w:val="5C50617D"/>
    <w:rsid w:val="64F322B1"/>
    <w:rsid w:val="69304793"/>
    <w:rsid w:val="6E1A534C"/>
    <w:rsid w:val="6E4E7FEB"/>
    <w:rsid w:val="70A26E70"/>
    <w:rsid w:val="74E746F5"/>
    <w:rsid w:val="781E7D81"/>
    <w:rsid w:val="78B6204A"/>
    <w:rsid w:val="7A5303A6"/>
    <w:rsid w:val="7ADF47D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2021-02-24T03:48:00Z</dcterms:created>
  <dc:creator>openxml-sdk </dc:creator>
  <dc:description>openxml-sdk, CCi Textin Word Converter, JL</dc:description>
  <cp:keywords>CCi</cp:keywords>
  <cp:lastModifiedBy>Administrator</cp:lastModifiedBy>
  <dcterms:modified xsi:type="dcterms:W3CDTF">2021-02-24T08:31:13Z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